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BC2218" w:rsidRPr="008D7EBF" w:rsidRDefault="008D7EBF" w:rsidP="008D7EBF">
      <w:pPr>
        <w:jc w:val="center"/>
        <w:rPr>
          <w:rFonts w:ascii="Times New Roman" w:hAnsi="Times New Roman" w:cs="Times New Roman"/>
          <w:sz w:val="24"/>
          <w:szCs w:val="24"/>
        </w:rPr>
      </w:pPr>
      <w:r w:rsidRPr="008D7EBF">
        <w:rPr>
          <w:rFonts w:ascii="Times New Roman" w:hAnsi="Times New Roman" w:cs="Times New Roman"/>
          <w:sz w:val="24"/>
          <w:szCs w:val="24"/>
        </w:rPr>
        <w:t>International Trade Law</w:t>
      </w:r>
    </w:p>
    <w:p w:rsidR="008D7EBF" w:rsidRPr="008D7EBF" w:rsidRDefault="008D7EBF" w:rsidP="008D7EBF">
      <w:pPr>
        <w:jc w:val="center"/>
        <w:rPr>
          <w:rFonts w:ascii="Times New Roman" w:hAnsi="Times New Roman" w:cs="Times New Roman"/>
          <w:sz w:val="24"/>
          <w:szCs w:val="24"/>
        </w:rPr>
      </w:pPr>
      <w:r w:rsidRPr="008D7EBF">
        <w:rPr>
          <w:rFonts w:ascii="Times New Roman" w:hAnsi="Times New Roman" w:cs="Times New Roman"/>
          <w:sz w:val="24"/>
          <w:szCs w:val="24"/>
        </w:rPr>
        <w:t>Name</w:t>
      </w:r>
    </w:p>
    <w:p w:rsidR="008D7EBF" w:rsidRDefault="008D7EBF" w:rsidP="008D7EBF">
      <w:pPr>
        <w:jc w:val="center"/>
        <w:rPr>
          <w:rFonts w:ascii="Times New Roman" w:hAnsi="Times New Roman" w:cs="Times New Roman"/>
          <w:sz w:val="24"/>
          <w:szCs w:val="24"/>
        </w:rPr>
      </w:pPr>
      <w:r w:rsidRPr="008D7EBF">
        <w:rPr>
          <w:rFonts w:ascii="Times New Roman" w:hAnsi="Times New Roman" w:cs="Times New Roman"/>
          <w:sz w:val="24"/>
          <w:szCs w:val="24"/>
        </w:rPr>
        <w:t>Institution</w:t>
      </w: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D7EBF">
      <w:pPr>
        <w:jc w:val="center"/>
        <w:rPr>
          <w:rFonts w:ascii="Times New Roman" w:hAnsi="Times New Roman" w:cs="Times New Roman"/>
          <w:sz w:val="24"/>
          <w:szCs w:val="24"/>
        </w:rPr>
      </w:pPr>
    </w:p>
    <w:p w:rsidR="008D7EBF" w:rsidRDefault="008D7EBF" w:rsidP="008025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International Trade Law</w:t>
      </w:r>
    </w:p>
    <w:p w:rsidR="008D7EBF" w:rsidRDefault="008D7EBF"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Suppose an importers bank issues a letter of credit to the seller in a foreign country. The letter of credit often states that it is available “against your draft at a sight” when accompanied by asset of additional documents.</w:t>
      </w:r>
    </w:p>
    <w:p w:rsidR="008D7EBF" w:rsidRDefault="008D7EBF" w:rsidP="008025C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Why will the seller instead of the buyer be presenting</w:t>
      </w:r>
      <w:r w:rsidRPr="008D7EBF">
        <w:rPr>
          <w:rFonts w:ascii="Times New Roman" w:hAnsi="Times New Roman" w:cs="Times New Roman"/>
          <w:sz w:val="24"/>
          <w:szCs w:val="24"/>
        </w:rPr>
        <w:t xml:space="preserve"> </w:t>
      </w:r>
      <w:r w:rsidR="00EB44AE">
        <w:rPr>
          <w:rFonts w:ascii="Times New Roman" w:hAnsi="Times New Roman" w:cs="Times New Roman"/>
          <w:sz w:val="24"/>
          <w:szCs w:val="24"/>
        </w:rPr>
        <w:t>a sight draft?</w:t>
      </w:r>
    </w:p>
    <w:p w:rsidR="00EB44AE" w:rsidRDefault="00EB44AE" w:rsidP="008025CD">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seller presents the sight draft because it acts as his representation in the time of the payment. It is prepared by the seller to the buyer in the destination of the product along with other shipping documents and moved through banking channels. In this connection, the banks acts as the seller in the collection of the sight draft</w:t>
      </w:r>
    </w:p>
    <w:p w:rsidR="00EB44AE" w:rsidRDefault="00EB44AE" w:rsidP="008025C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Why is the bank requiring a set of additional documents?</w:t>
      </w:r>
    </w:p>
    <w:p w:rsidR="00EB44AE" w:rsidRDefault="00C26096" w:rsidP="008025CD">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bank demands other additional documents to acquire any other additional information concerning the transaction. For example collection letter comes an additional document to the draft and provides instructions to the bank on the party responsible for the payment of the banking charges. Moreover, this additional documents provide various directions to be followed in case the buyer dishonors the draft. </w:t>
      </w:r>
      <w:r w:rsidR="00FB56E1">
        <w:rPr>
          <w:rFonts w:ascii="Times New Roman" w:hAnsi="Times New Roman" w:cs="Times New Roman"/>
          <w:sz w:val="24"/>
          <w:szCs w:val="24"/>
        </w:rPr>
        <w:t>In</w:t>
      </w:r>
      <w:r>
        <w:rPr>
          <w:rFonts w:ascii="Times New Roman" w:hAnsi="Times New Roman" w:cs="Times New Roman"/>
          <w:sz w:val="24"/>
          <w:szCs w:val="24"/>
        </w:rPr>
        <w:t xml:space="preserve"> the event this happens, the collection letter states the procedure on h</w:t>
      </w:r>
      <w:r w:rsidR="00FB56E1">
        <w:rPr>
          <w:rFonts w:ascii="Times New Roman" w:hAnsi="Times New Roman" w:cs="Times New Roman"/>
          <w:sz w:val="24"/>
          <w:szCs w:val="24"/>
        </w:rPr>
        <w:t>ow the seller will be notified through his agent in the country of the transaction. Other resolutions are then made such as proper storage of the goods waiting for the resale or the problem to be solved.</w:t>
      </w:r>
    </w:p>
    <w:p w:rsidR="00FB56E1" w:rsidRDefault="00FB56E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Who has the authority to make decisions for the United States regarding international trade law?</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federal government has the power to regulate and make various decisions concerning international trade. Some of the aspects that propelled to this conclusion include ensuring that there would be no erection of trade barriers between the states. For example, imposition of tariffs and </w:t>
      </w:r>
      <w:r>
        <w:rPr>
          <w:rFonts w:ascii="Times New Roman" w:hAnsi="Times New Roman" w:cs="Times New Roman"/>
          <w:sz w:val="24"/>
          <w:szCs w:val="24"/>
        </w:rPr>
        <w:lastRenderedPageBreak/>
        <w:t>quotas in the imports by the seacoast states would limit the level of trade resulting to low revenue to the federal government.</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Additionally, the decision ensured that unity and political stability in the whole country is maintained when the country is dealing with other countries in the process of international trade. Through this rule, the international matters concerning trade could be successfully handled by the federal government since it is stronger than each state controlling the affair independently.</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Since textile manufacturing is important to the economy of North Carolina, why do not legislators simply vote to tax the sale of foreign textiles coming into this state? What actions are available to the governor and the legislature of North Carolina if they want to protect local textile industries from foreign imports?</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The administrative government of North Carolina should apply the principle of protectionism in order to protect exploitation of the local industries. Protectionism is an economic policy that is set to restrict imports from other countries by use of various methods. Some of the methods that are used in this principle are discussed below.</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Administration of tariffs on the imported goods. Tariff is a kind of tax that is applied on the imported good.  Applied depending on the type of the good imported, tariffs increase the cost of importing products from other countries which makes the goods expensive to consume locally. Through this method the local consumers find it difficult to consume the imported goods. This forces them to consume the goods that produced locally due to their low cost hence promoting the local industries.</w:t>
      </w:r>
    </w:p>
    <w:p w:rsidR="00DD2E81" w:rsidRDefault="00DD2E8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Imposition of quotas. Quota is a proportion of total quantity that is required. Reducing the quantity of the imported goods increase the market price of the imported goods. Consequently, this </w:t>
      </w:r>
      <w:r>
        <w:rPr>
          <w:rFonts w:ascii="Times New Roman" w:hAnsi="Times New Roman" w:cs="Times New Roman"/>
          <w:sz w:val="24"/>
          <w:szCs w:val="24"/>
        </w:rPr>
        <w:lastRenderedPageBreak/>
        <w:t xml:space="preserve">increases the price of the imported goods leaving the consumer with no choice but to consume the local products. The effects of imposition of a quotas is similar to that of tariffs except on the fact that </w:t>
      </w:r>
      <w:r w:rsidR="00D01546">
        <w:rPr>
          <w:rFonts w:ascii="Times New Roman" w:hAnsi="Times New Roman" w:cs="Times New Roman"/>
          <w:sz w:val="24"/>
          <w:szCs w:val="24"/>
        </w:rPr>
        <w:t xml:space="preserve">the gains obtained from the tariffs are distributed to the people who obtain the import </w:t>
      </w:r>
      <w:r w:rsidR="00EE69BC">
        <w:rPr>
          <w:rFonts w:ascii="Times New Roman" w:hAnsi="Times New Roman" w:cs="Times New Roman"/>
          <w:sz w:val="24"/>
          <w:szCs w:val="24"/>
        </w:rPr>
        <w:t>licenses</w:t>
      </w:r>
      <w:r w:rsidR="00D01546">
        <w:rPr>
          <w:rFonts w:ascii="Times New Roman" w:hAnsi="Times New Roman" w:cs="Times New Roman"/>
          <w:sz w:val="24"/>
          <w:szCs w:val="24"/>
        </w:rPr>
        <w:t>.</w:t>
      </w:r>
    </w:p>
    <w:p w:rsidR="00D01546" w:rsidRDefault="00D01546"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The administrative government can also apply the principle of administrative barriers for example those regarding the issues of food security and environmental standards as another way to increase the barriers to the importers. The principle makes the imported goods more expensive hence reducing their consumption locally.</w:t>
      </w:r>
    </w:p>
    <w:p w:rsidR="00D01546" w:rsidRDefault="00D01546"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With regard that the textile industries are crucial for the development of the economy of </w:t>
      </w:r>
      <w:r w:rsidR="00EE69BC">
        <w:rPr>
          <w:rFonts w:ascii="Times New Roman" w:hAnsi="Times New Roman" w:cs="Times New Roman"/>
          <w:sz w:val="24"/>
          <w:szCs w:val="24"/>
        </w:rPr>
        <w:t>North</w:t>
      </w:r>
      <w:r>
        <w:rPr>
          <w:rFonts w:ascii="Times New Roman" w:hAnsi="Times New Roman" w:cs="Times New Roman"/>
          <w:sz w:val="24"/>
          <w:szCs w:val="24"/>
        </w:rPr>
        <w:t xml:space="preserve"> Carolina, the government of this state can impose export subsidies to promote the exporting process hence boosting the level of economic growth</w:t>
      </w:r>
      <w:r w:rsidR="00710501">
        <w:rPr>
          <w:rFonts w:ascii="Times New Roman" w:hAnsi="Times New Roman" w:cs="Times New Roman"/>
          <w:sz w:val="24"/>
          <w:szCs w:val="24"/>
        </w:rPr>
        <w:t>. Increase in the level of exports gives the local producers more power especially financially which helps them to boost their production in the local industries.</w:t>
      </w:r>
    </w:p>
    <w:p w:rsidR="00710501" w:rsidRDefault="00710501"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Use of anti-dumping policy can significantly help in the protection local industries.</w:t>
      </w:r>
      <w:r w:rsidR="00EE69BC">
        <w:rPr>
          <w:rFonts w:ascii="Times New Roman" w:hAnsi="Times New Roman" w:cs="Times New Roman"/>
          <w:sz w:val="24"/>
          <w:szCs w:val="24"/>
        </w:rPr>
        <w:t xml:space="preserve"> It is a principle that involves firms selling their products at lower price in the export market than it is charged in the home market. This practice prevents the importation of cheaper goods from other countries that may lead to collapse of the domestic industries. The practice usually strengthens the domestic industries. The use of ant dumping policy is usually used in the application of the trade tariffs on the people who are exporting products to the other countries.</w:t>
      </w:r>
    </w:p>
    <w:p w:rsidR="00EE69BC" w:rsidRDefault="00EE69BC"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Finally, the administration of North Carolina can promote the local industries through protection of the technology and the scientific knowledge that is used in the production of the product. In this case foreign firms will lack the production method hence reducing the competition in the market. </w:t>
      </w:r>
      <w:r>
        <w:rPr>
          <w:rFonts w:ascii="Times New Roman" w:hAnsi="Times New Roman" w:cs="Times New Roman"/>
          <w:sz w:val="24"/>
          <w:szCs w:val="24"/>
        </w:rPr>
        <w:lastRenderedPageBreak/>
        <w:t>Through this method the domestic firms gain a significant level of monopoly power which gives them strength to grow.</w:t>
      </w:r>
    </w:p>
    <w:p w:rsidR="00EE69BC" w:rsidRDefault="00CC4A17"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Questions and case problems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1</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Under article 14(b) of the UCP 600 which gives the banks up to five working days to examine the seller’s documents to determine if they comply with the terms in the letters of credit. Wade’s documents suffered some irregularities which made which made him not to bear the right of being paid by the bank.</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Moreover, wade failed to keep the law of strict compliance which states that the terms of documents presented to the issuing bank must strictly conform the requirements of the letter of credit.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On the other hand, wade had a right to claim payment following the rule of functional standard of compliance, which gives a common rule in various places that courts do not require the banks to reject transaction documents due to insignificant errors, the bank also bearded a right to hold the payment since the documents were presented late.</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Wade urges that the documents did not have to be confronting before the presentation deadline but only before the expiry date of the credit. On this argument, wade was correct since he delivered the documents before the presentation deadline. According to article 14(c) of the UCP 600 requires that the documents be presented within 21 days of the date of shipment and before the expiry date of the stated credit.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Why did the Citibank reject wades documents at first?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bank applied the principle of examination of documents for discrepancies and had the right to hold or reject the documents in case they did not match the terms that were presented in the letter of credit.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3</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Did the unsigned copies of the bills of lading comply with the letter of credits requirements that </w:t>
      </w:r>
      <w:proofErr w:type="spellStart"/>
      <w:r>
        <w:rPr>
          <w:rFonts w:ascii="Times New Roman" w:hAnsi="Times New Roman" w:cs="Times New Roman"/>
          <w:sz w:val="24"/>
          <w:szCs w:val="24"/>
        </w:rPr>
        <w:t>Mago</w:t>
      </w:r>
      <w:proofErr w:type="spellEnd"/>
      <w:r>
        <w:rPr>
          <w:rFonts w:ascii="Times New Roman" w:hAnsi="Times New Roman" w:cs="Times New Roman"/>
          <w:sz w:val="24"/>
          <w:szCs w:val="24"/>
        </w:rPr>
        <w:t xml:space="preserve"> provide a “photocopy of (a bill of lading)” evidencing the shipment of the goods?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The unsigned copies of the bill of lading did not comply with the requirements of the letter of credit since the documents were not presented in their original form. In the buyer’s application and contract with the issuing bank, application for credit is done on the banks requirements and most importantly contains the buyer’s directions and the condition in which the bank should accept the documents. In this case the bank requires the original contract of sales between the buyer and the seller. In this scenario, this was not the case since the documents presented were photocopy and did not comply with the requirements of letters of credit.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4</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Did the </w:t>
      </w:r>
      <w:proofErr w:type="spellStart"/>
      <w:r>
        <w:rPr>
          <w:rFonts w:ascii="Times New Roman" w:hAnsi="Times New Roman" w:cs="Times New Roman"/>
          <w:sz w:val="24"/>
          <w:szCs w:val="24"/>
        </w:rPr>
        <w:t>Generales</w:t>
      </w:r>
      <w:proofErr w:type="spellEnd"/>
      <w:r>
        <w:rPr>
          <w:rFonts w:ascii="Times New Roman" w:hAnsi="Times New Roman" w:cs="Times New Roman"/>
          <w:sz w:val="24"/>
          <w:szCs w:val="24"/>
        </w:rPr>
        <w:t xml:space="preserve"> acceptance of previous bills of lading serve to waive the right to insist on strict compliance with respect to the third shipment?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this case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acceptance of the previous bills serve to waive the right to insist on strict compliance. This is evidenced in the ethical handling of the letter of credit which states that buyers may waive a minor discrepancy in order to violet the contract for example by refusing to pay. This discrepancy may give the buyer a buyer a way out if the seller is not careful.</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Use of this principle favors the buyer, mostly if at all he pays for the goods, he may receive a big discount in the price.</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Does </w:t>
      </w:r>
      <w:proofErr w:type="spellStart"/>
      <w:r>
        <w:rPr>
          <w:rFonts w:ascii="Times New Roman" w:hAnsi="Times New Roman" w:cs="Times New Roman"/>
          <w:sz w:val="24"/>
          <w:szCs w:val="24"/>
        </w:rPr>
        <w:t>Generales</w:t>
      </w:r>
      <w:proofErr w:type="spellEnd"/>
      <w:r>
        <w:rPr>
          <w:rFonts w:ascii="Times New Roman" w:hAnsi="Times New Roman" w:cs="Times New Roman"/>
          <w:sz w:val="24"/>
          <w:szCs w:val="24"/>
        </w:rPr>
        <w:t xml:space="preserve"> failure to honor the letter of credit strike you opportunistic given </w:t>
      </w:r>
      <w:proofErr w:type="spellStart"/>
      <w:r>
        <w:rPr>
          <w:rFonts w:ascii="Times New Roman" w:hAnsi="Times New Roman" w:cs="Times New Roman"/>
          <w:sz w:val="24"/>
          <w:szCs w:val="24"/>
        </w:rPr>
        <w:t>Resulux</w:t>
      </w:r>
      <w:proofErr w:type="spellEnd"/>
      <w:r>
        <w:rPr>
          <w:rFonts w:ascii="Times New Roman" w:hAnsi="Times New Roman" w:cs="Times New Roman"/>
          <w:sz w:val="24"/>
          <w:szCs w:val="24"/>
        </w:rPr>
        <w:t xml:space="preserve"> rejection to the third shipment?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Following the UCP instructions, if a banks asks for the documents from the buyer in total refusal, the banks holds the first documents pending for further investigations but if the investigation fail, the general conclusion remains that the papers were properly presented making the seller to loose. In this connection,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failure to honor letter of credit led to more advantages following the other partners’ rejection.</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5</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Should the issuing bank also be liable for consequential damages that are reasonably foreseen?</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The bank issuing is liable for consequential damage if after following the UCP procedures for dishonoring presentation do not go through. The bank should give a notice indicating refusal to presenting bank by telecommunication within a specified period of time. In case the banks fails in this operation, then it bears the consequences.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6</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Ethical consideration problem 2</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Is it ethical for a buyer to reject documents presented under the letter of credit that contains a minor discrepancy between document and the credit?</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ethical handling of the this rule, it is not ethical to take an advantage of a minor discrepancy in the contract in order to gain other added benefits such as mitigating risk since it </w:t>
      </w:r>
      <w:r>
        <w:rPr>
          <w:rFonts w:ascii="Times New Roman" w:hAnsi="Times New Roman" w:cs="Times New Roman"/>
          <w:sz w:val="24"/>
          <w:szCs w:val="24"/>
        </w:rPr>
        <w:lastRenderedPageBreak/>
        <w:t>makes innocent parties suffer. However, the reason matters. This evidenced by the fact that people will be willing to go against this ethical principle whenever the reason of failure comes from the other connected party.</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Does it matter that the buyer may know that the shipment actually conforms to the requirements of the contract and the letter of the credit? The buyer bears no risk in case a discrepancy but may obtain some good outcome. Hence it does matter.</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Buyers and their banks have on occasion been known to invent discrepancies to make a mountain of </w:t>
      </w:r>
      <w:proofErr w:type="spellStart"/>
      <w:r>
        <w:rPr>
          <w:rFonts w:ascii="Times New Roman" w:hAnsi="Times New Roman" w:cs="Times New Roman"/>
          <w:sz w:val="24"/>
          <w:szCs w:val="24"/>
        </w:rPr>
        <w:t>molchill</w:t>
      </w:r>
      <w:proofErr w:type="spellEnd"/>
      <w:r>
        <w:rPr>
          <w:rFonts w:ascii="Times New Roman" w:hAnsi="Times New Roman" w:cs="Times New Roman"/>
          <w:sz w:val="24"/>
          <w:szCs w:val="24"/>
        </w:rPr>
        <w:t xml:space="preserve">. This statement explains the probability of the buyers can use their banks to create minor </w:t>
      </w:r>
      <w:proofErr w:type="spellStart"/>
      <w:r>
        <w:rPr>
          <w:rFonts w:ascii="Times New Roman" w:hAnsi="Times New Roman" w:cs="Times New Roman"/>
          <w:sz w:val="24"/>
          <w:szCs w:val="24"/>
        </w:rPr>
        <w:t>decrepinaries</w:t>
      </w:r>
      <w:proofErr w:type="spellEnd"/>
      <w:r>
        <w:rPr>
          <w:rFonts w:ascii="Times New Roman" w:hAnsi="Times New Roman" w:cs="Times New Roman"/>
          <w:sz w:val="24"/>
          <w:szCs w:val="24"/>
        </w:rPr>
        <w:t xml:space="preserve"> to take advantage of the business transaction. This is generally contributed the benefits the buyer gains.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Question on case problem</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2.</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limits on the president’s use of executive orders?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The president has no power over the regulation of commerce and trade with foreign countries but the power rests in the hand of the congress.</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Case problem 3</w:t>
      </w:r>
    </w:p>
    <w:p w:rsidR="008025CD" w:rsidRDefault="008025CD" w:rsidP="008025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recent executive orders, memoranda or proclamations have issued by the president affecting US international trade? </w:t>
      </w:r>
      <w:proofErr w:type="spellStart"/>
      <w:r>
        <w:rPr>
          <w:rFonts w:ascii="Times New Roman" w:hAnsi="Times New Roman" w:cs="Times New Roman"/>
          <w:sz w:val="24"/>
          <w:szCs w:val="24"/>
        </w:rPr>
        <w:t>Bil</w:t>
      </w:r>
      <w:proofErr w:type="spellEnd"/>
      <w:r>
        <w:rPr>
          <w:rFonts w:ascii="Times New Roman" w:hAnsi="Times New Roman" w:cs="Times New Roman"/>
          <w:sz w:val="24"/>
          <w:szCs w:val="24"/>
        </w:rPr>
        <w:t xml:space="preserve"> Clinton proclamation on federal lands for erection of national monuments</w:t>
      </w:r>
    </w:p>
    <w:p w:rsidR="008025CD" w:rsidRDefault="008025CD" w:rsidP="008025CD">
      <w:pPr>
        <w:spacing w:line="480" w:lineRule="auto"/>
        <w:jc w:val="both"/>
        <w:rPr>
          <w:rFonts w:ascii="Times New Roman" w:hAnsi="Times New Roman" w:cs="Times New Roman"/>
          <w:sz w:val="24"/>
          <w:szCs w:val="24"/>
        </w:rPr>
      </w:pPr>
      <w:bookmarkStart w:id="0" w:name="_GoBack"/>
      <w:bookmarkEnd w:id="0"/>
    </w:p>
    <w:p w:rsidR="008025CD" w:rsidRDefault="008025CD" w:rsidP="008025CD">
      <w:pPr>
        <w:spacing w:line="480" w:lineRule="auto"/>
        <w:jc w:val="both"/>
        <w:rPr>
          <w:rFonts w:ascii="Times New Roman" w:hAnsi="Times New Roman" w:cs="Times New Roman"/>
          <w:sz w:val="24"/>
          <w:szCs w:val="24"/>
        </w:rPr>
      </w:pPr>
    </w:p>
    <w:p w:rsidR="008025CD" w:rsidRDefault="008025CD" w:rsidP="008025CD">
      <w:pPr>
        <w:spacing w:line="480" w:lineRule="auto"/>
        <w:jc w:val="both"/>
        <w:rPr>
          <w:rFonts w:ascii="Times New Roman" w:hAnsi="Times New Roman" w:cs="Times New Roman"/>
          <w:sz w:val="24"/>
          <w:szCs w:val="24"/>
        </w:rPr>
      </w:pPr>
    </w:p>
    <w:p w:rsidR="008025CD" w:rsidRDefault="008025CD" w:rsidP="008025CD">
      <w:pPr>
        <w:spacing w:line="480" w:lineRule="auto"/>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8025CD" w:rsidRDefault="008025CD" w:rsidP="00FB56E1">
      <w:pPr>
        <w:jc w:val="both"/>
        <w:rPr>
          <w:rFonts w:ascii="Times New Roman" w:hAnsi="Times New Roman" w:cs="Times New Roman"/>
          <w:sz w:val="24"/>
          <w:szCs w:val="24"/>
        </w:rPr>
      </w:pPr>
    </w:p>
    <w:p w:rsidR="00CC4A17" w:rsidRDefault="00CC4A17" w:rsidP="00FB56E1">
      <w:pPr>
        <w:jc w:val="both"/>
        <w:rPr>
          <w:rFonts w:ascii="Times New Roman" w:hAnsi="Times New Roman" w:cs="Times New Roman"/>
          <w:sz w:val="24"/>
          <w:szCs w:val="24"/>
        </w:rPr>
      </w:pPr>
    </w:p>
    <w:p w:rsidR="00DD2E81" w:rsidRDefault="00DD2E81" w:rsidP="00FB56E1">
      <w:pPr>
        <w:jc w:val="both"/>
        <w:rPr>
          <w:rFonts w:ascii="Times New Roman" w:hAnsi="Times New Roman" w:cs="Times New Roman"/>
          <w:sz w:val="24"/>
          <w:szCs w:val="24"/>
        </w:rPr>
      </w:pPr>
    </w:p>
    <w:p w:rsidR="00FB56E1" w:rsidRPr="00FB56E1" w:rsidRDefault="00FB56E1" w:rsidP="00FB56E1">
      <w:pPr>
        <w:jc w:val="both"/>
        <w:rPr>
          <w:rFonts w:ascii="Times New Roman" w:hAnsi="Times New Roman" w:cs="Times New Roman"/>
          <w:sz w:val="24"/>
          <w:szCs w:val="24"/>
        </w:rPr>
      </w:pPr>
    </w:p>
    <w:sectPr w:rsidR="00FB56E1" w:rsidRPr="00FB56E1" w:rsidSect="008D7E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E58" w:rsidRDefault="00334E58" w:rsidP="008D7EBF">
      <w:pPr>
        <w:spacing w:after="0" w:line="240" w:lineRule="auto"/>
      </w:pPr>
      <w:r>
        <w:separator/>
      </w:r>
    </w:p>
  </w:endnote>
  <w:endnote w:type="continuationSeparator" w:id="0">
    <w:p w:rsidR="00334E58" w:rsidRDefault="00334E58" w:rsidP="008D7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E58" w:rsidRDefault="00334E58" w:rsidP="008D7EBF">
      <w:pPr>
        <w:spacing w:after="0" w:line="240" w:lineRule="auto"/>
      </w:pPr>
      <w:r>
        <w:separator/>
      </w:r>
    </w:p>
  </w:footnote>
  <w:footnote w:type="continuationSeparator" w:id="0">
    <w:p w:rsidR="00334E58" w:rsidRDefault="00334E58" w:rsidP="008D7E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EBF" w:rsidRDefault="008D7EBF">
    <w:pPr>
      <w:pStyle w:val="Header"/>
    </w:pPr>
    <w:r>
      <w:rPr>
        <w:rFonts w:ascii="Times New Roman" w:hAnsi="Times New Roman" w:cs="Times New Roman"/>
        <w:sz w:val="24"/>
        <w:szCs w:val="24"/>
      </w:rPr>
      <w:t xml:space="preserve">INTERNATIONAL TRADE LAW                                                                                                 </w:t>
    </w:r>
    <w:r w:rsidRPr="008D7EBF">
      <w:rPr>
        <w:rFonts w:ascii="Times New Roman" w:hAnsi="Times New Roman" w:cs="Times New Roman"/>
        <w:sz w:val="24"/>
        <w:szCs w:val="24"/>
      </w:rPr>
      <w:fldChar w:fldCharType="begin"/>
    </w:r>
    <w:r w:rsidRPr="008D7EBF">
      <w:rPr>
        <w:rFonts w:ascii="Times New Roman" w:hAnsi="Times New Roman" w:cs="Times New Roman"/>
        <w:sz w:val="24"/>
        <w:szCs w:val="24"/>
      </w:rPr>
      <w:instrText xml:space="preserve"> PAGE   \* MERGEFORMAT </w:instrText>
    </w:r>
    <w:r w:rsidRPr="008D7EBF">
      <w:rPr>
        <w:rFonts w:ascii="Times New Roman" w:hAnsi="Times New Roman" w:cs="Times New Roman"/>
        <w:sz w:val="24"/>
        <w:szCs w:val="24"/>
      </w:rPr>
      <w:fldChar w:fldCharType="separate"/>
    </w:r>
    <w:r w:rsidR="008025CD">
      <w:rPr>
        <w:rFonts w:ascii="Times New Roman" w:hAnsi="Times New Roman" w:cs="Times New Roman"/>
        <w:noProof/>
        <w:sz w:val="24"/>
        <w:szCs w:val="24"/>
      </w:rPr>
      <w:t>9</w:t>
    </w:r>
    <w:r w:rsidRPr="008D7EBF">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EBF" w:rsidRPr="008D7EBF" w:rsidRDefault="008D7EBF">
    <w:pPr>
      <w:pStyle w:val="Header"/>
      <w:rPr>
        <w:rFonts w:ascii="Times New Roman" w:hAnsi="Times New Roman" w:cs="Times New Roman"/>
        <w:sz w:val="24"/>
        <w:szCs w:val="24"/>
      </w:rPr>
    </w:pPr>
    <w:r>
      <w:rPr>
        <w:rFonts w:ascii="Times New Roman" w:hAnsi="Times New Roman" w:cs="Times New Roman"/>
        <w:sz w:val="24"/>
        <w:szCs w:val="24"/>
      </w:rPr>
      <w:t xml:space="preserve">Running head: INTERNATIONAL TRADE LAW                                                                        </w:t>
    </w:r>
    <w:r w:rsidRPr="008D7EBF">
      <w:rPr>
        <w:rFonts w:ascii="Times New Roman" w:hAnsi="Times New Roman" w:cs="Times New Roman"/>
        <w:sz w:val="24"/>
        <w:szCs w:val="24"/>
      </w:rPr>
      <w:fldChar w:fldCharType="begin"/>
    </w:r>
    <w:r w:rsidRPr="008D7EBF">
      <w:rPr>
        <w:rFonts w:ascii="Times New Roman" w:hAnsi="Times New Roman" w:cs="Times New Roman"/>
        <w:sz w:val="24"/>
        <w:szCs w:val="24"/>
      </w:rPr>
      <w:instrText xml:space="preserve"> PAGE   \* MERGEFORMAT </w:instrText>
    </w:r>
    <w:r w:rsidRPr="008D7EBF">
      <w:rPr>
        <w:rFonts w:ascii="Times New Roman" w:hAnsi="Times New Roman" w:cs="Times New Roman"/>
        <w:sz w:val="24"/>
        <w:szCs w:val="24"/>
      </w:rPr>
      <w:fldChar w:fldCharType="separate"/>
    </w:r>
    <w:r w:rsidR="008025CD">
      <w:rPr>
        <w:rFonts w:ascii="Times New Roman" w:hAnsi="Times New Roman" w:cs="Times New Roman"/>
        <w:noProof/>
        <w:sz w:val="24"/>
        <w:szCs w:val="24"/>
      </w:rPr>
      <w:t>1</w:t>
    </w:r>
    <w:r w:rsidRPr="008D7EB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82E7D"/>
    <w:multiLevelType w:val="hybridMultilevel"/>
    <w:tmpl w:val="A232BF7C"/>
    <w:lvl w:ilvl="0" w:tplc="97A89D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EBF"/>
    <w:rsid w:val="00334E58"/>
    <w:rsid w:val="00355047"/>
    <w:rsid w:val="00376A29"/>
    <w:rsid w:val="00430FDF"/>
    <w:rsid w:val="00480247"/>
    <w:rsid w:val="006A6DC7"/>
    <w:rsid w:val="00710501"/>
    <w:rsid w:val="008025CD"/>
    <w:rsid w:val="008D7EBF"/>
    <w:rsid w:val="00B3723C"/>
    <w:rsid w:val="00BC2218"/>
    <w:rsid w:val="00C26096"/>
    <w:rsid w:val="00CC4A17"/>
    <w:rsid w:val="00D01546"/>
    <w:rsid w:val="00DD2E81"/>
    <w:rsid w:val="00EB44AE"/>
    <w:rsid w:val="00EE69BC"/>
    <w:rsid w:val="00FB5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181DE5-197D-450A-A9BB-41DA81E2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EBF"/>
  </w:style>
  <w:style w:type="paragraph" w:styleId="Footer">
    <w:name w:val="footer"/>
    <w:basedOn w:val="Normal"/>
    <w:link w:val="FooterChar"/>
    <w:uiPriority w:val="99"/>
    <w:unhideWhenUsed/>
    <w:rsid w:val="008D7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EBF"/>
  </w:style>
  <w:style w:type="paragraph" w:styleId="ListParagraph">
    <w:name w:val="List Paragraph"/>
    <w:basedOn w:val="Normal"/>
    <w:uiPriority w:val="34"/>
    <w:qFormat/>
    <w:rsid w:val="008D7E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1</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2018-10-22T04:42:00Z</dcterms:created>
  <dcterms:modified xsi:type="dcterms:W3CDTF">2018-10-23T00:33:00Z</dcterms:modified>
</cp:coreProperties>
</file>